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79" w:rsidRPr="00001479" w:rsidRDefault="00001479" w:rsidP="0000147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center"/>
        <w:outlineLvl w:val="1"/>
        <w:rPr>
          <w:rFonts w:ascii="Arial" w:eastAsia="Times New Roman" w:hAnsi="Arial" w:cs="Times New Roman"/>
          <w:b/>
          <w:color w:val="002060"/>
          <w:sz w:val="24"/>
          <w:lang w:eastAsia="zh-CN"/>
        </w:rPr>
      </w:pPr>
      <w:r>
        <w:rPr>
          <w:rFonts w:ascii="Calibri" w:eastAsia="Times New Roman" w:hAnsi="Calibri" w:cs="Times New Roman"/>
          <w:b/>
          <w:color w:val="002060"/>
          <w:sz w:val="24"/>
          <w:lang w:eastAsia="zh-CN"/>
        </w:rPr>
        <w:t>ΤΕΧΝΙΚΕΣ ΠΡΟΔΙΑΓΡΑΦΕΣ</w:t>
      </w:r>
    </w:p>
    <w:p w:rsidR="00001479" w:rsidRPr="00001479" w:rsidRDefault="00001479" w:rsidP="00001479">
      <w:pPr>
        <w:suppressAutoHyphens/>
        <w:spacing w:after="60" w:line="240" w:lineRule="auto"/>
        <w:jc w:val="both"/>
        <w:rPr>
          <w:rFonts w:ascii="Calibri" w:eastAsia="Times New Roman" w:hAnsi="Calibri" w:cs="Calibri"/>
          <w:szCs w:val="24"/>
          <w:lang w:eastAsia="zh-CN"/>
        </w:rPr>
      </w:pPr>
      <w:r w:rsidRPr="00001479">
        <w:rPr>
          <w:rFonts w:ascii="Calibri" w:eastAsia="Times New Roman" w:hAnsi="Calibri" w:cs="Arial"/>
          <w:b/>
          <w:color w:val="002060"/>
          <w:lang w:eastAsia="zh-CN"/>
        </w:rPr>
        <w:t xml:space="preserve">Α. Περιβάλλον του Έργου </w:t>
      </w:r>
    </w:p>
    <w:p w:rsidR="00001479" w:rsidRPr="00001479" w:rsidRDefault="00001479" w:rsidP="00001479">
      <w:pPr>
        <w:jc w:val="both"/>
        <w:rPr>
          <w:rFonts w:ascii="Calibri" w:eastAsia="Calibri" w:hAnsi="Calibri" w:cs="Arial"/>
        </w:rPr>
      </w:pPr>
      <w:r w:rsidRPr="00001479">
        <w:rPr>
          <w:rFonts w:ascii="Calibri" w:eastAsia="Calibri" w:hAnsi="Calibri" w:cs="Arial"/>
        </w:rPr>
        <w:t>Ο Ειδικός Λογαριασμός Κονδυλίων Έρευνας της ΑΝΩΤΑΤΗΣ ΣΧΟΛΗΣ ΠΑΙΔΑΓΩΓΙΚΗΣ &amp; ΤΕΧΝΟΛΟΓΙΚΗΣ ΕΚΠΑΙΔΕΥΣΗΣ (ΑΣΠΑΙΤΕ) υλοποιεί την Πράξη «Μονάδα Στρατηγικού Σχεδιασμού της Ανώτατης Σχολής Παιδαγωγικής και Τεχνολογικής Εκπαίδευσης (ΑΣΠΑΙΤΕ)» με Κωδικό ΟΠΣ 5201356 στο πλαίσιο του Επιχειρησιακού Προγράμματος «Ανάπτυξη Ανθρώπινου Δυναμικού, Εκπαίδευση και Δια Βίου Μάθηση 2014-2020».</w:t>
      </w:r>
    </w:p>
    <w:p w:rsidR="00001479" w:rsidRPr="00001479" w:rsidRDefault="00001479" w:rsidP="00001479">
      <w:pPr>
        <w:jc w:val="both"/>
        <w:rPr>
          <w:rFonts w:ascii="Calibri" w:eastAsia="Calibri" w:hAnsi="Calibri" w:cs="Arial"/>
        </w:rPr>
      </w:pPr>
      <w:r w:rsidRPr="00001479">
        <w:rPr>
          <w:rFonts w:ascii="Calibri" w:eastAsia="Calibri" w:hAnsi="Calibri" w:cs="Arial"/>
        </w:rPr>
        <w:t xml:space="preserve">Η ανωτέρω Πράξη αποσκοπεί στην υποστήριξη του έργου της Μονάδας Στρατηγικού Σχεδιασμού (ΜΣΣ) της Ανώτατης Σχολής Παιδαγωγικής και Τεχνολογικής Εκπαίδευσης (ΑΣΠΑΙΤΕ) και ειδικότερα στην ενίσχυση της επιχειρησιακής της ικανότητας για τη διαμόρφωση, διαχείριση και παρακολούθηση σχεδίων στρατηγικής, την κατάρτιση επιχειρησιακού προγράμματος καθώς και τη σύνταξη ετήσιων εκθέσεων επίδοσης και επιτευγμάτων, σύμφωνα με τα ιδιαίτερα χαρακτηριστικά και τη φυσιογνωμία της. </w:t>
      </w:r>
    </w:p>
    <w:p w:rsidR="00001479" w:rsidRPr="00001479" w:rsidRDefault="00001479" w:rsidP="00001479">
      <w:pPr>
        <w:jc w:val="both"/>
        <w:rPr>
          <w:rFonts w:ascii="Calibri" w:eastAsia="Calibri" w:hAnsi="Calibri" w:cs="Arial"/>
        </w:rPr>
      </w:pPr>
      <w:r w:rsidRPr="00001479">
        <w:rPr>
          <w:rFonts w:ascii="Calibri" w:eastAsia="Calibri" w:hAnsi="Calibri" w:cs="Arial"/>
        </w:rPr>
        <w:t>Βασικές δράσεις της Πράξης αποτελούν:</w:t>
      </w:r>
    </w:p>
    <w:p w:rsidR="00001479" w:rsidRPr="00001479" w:rsidRDefault="00001479" w:rsidP="00001479">
      <w:pPr>
        <w:numPr>
          <w:ilvl w:val="0"/>
          <w:numId w:val="4"/>
        </w:numPr>
        <w:suppressAutoHyphens/>
        <w:spacing w:after="120" w:line="240" w:lineRule="auto"/>
        <w:jc w:val="both"/>
        <w:rPr>
          <w:rFonts w:ascii="Calibri" w:eastAsia="Calibri" w:hAnsi="Calibri" w:cs="Arial"/>
        </w:rPr>
      </w:pPr>
      <w:r w:rsidRPr="00001479">
        <w:rPr>
          <w:rFonts w:ascii="Calibri" w:eastAsia="Calibri" w:hAnsi="Calibri" w:cs="Arial"/>
        </w:rPr>
        <w:t xml:space="preserve">Η οργάνωση και λειτουργία της ΜΣΣ </w:t>
      </w:r>
    </w:p>
    <w:p w:rsidR="00001479" w:rsidRPr="00001479" w:rsidRDefault="00001479" w:rsidP="00001479">
      <w:pPr>
        <w:ind w:left="720"/>
        <w:jc w:val="both"/>
        <w:rPr>
          <w:rFonts w:ascii="Calibri" w:eastAsia="Calibri" w:hAnsi="Calibri" w:cs="Arial"/>
        </w:rPr>
      </w:pPr>
      <w:r w:rsidRPr="00001479">
        <w:rPr>
          <w:rFonts w:ascii="Calibri" w:eastAsia="Calibri" w:hAnsi="Calibri" w:cs="Arial"/>
        </w:rPr>
        <w:t>Ειδικότερα, στόχος είναι η οργάνωση της Μονάδας Στρατηγικού Σχεδιασμού με συγκεκριμένη εσωτερική δομή, στελέχωση με περιγραφή θέσεων εργασίας στελεχών, αρμοδιοτήτων και καθηκόντων, περιγραφή διαδικασιών και ροής εργασιών.</w:t>
      </w:r>
    </w:p>
    <w:p w:rsidR="00001479" w:rsidRPr="00001479" w:rsidRDefault="00001479" w:rsidP="00001479">
      <w:pPr>
        <w:numPr>
          <w:ilvl w:val="0"/>
          <w:numId w:val="4"/>
        </w:numPr>
        <w:suppressAutoHyphens/>
        <w:spacing w:after="120" w:line="240" w:lineRule="auto"/>
        <w:jc w:val="both"/>
        <w:rPr>
          <w:rFonts w:ascii="Calibri" w:eastAsia="Calibri" w:hAnsi="Calibri" w:cs="Arial"/>
        </w:rPr>
      </w:pPr>
      <w:r w:rsidRPr="00001479">
        <w:rPr>
          <w:rFonts w:ascii="Calibri" w:eastAsia="Calibri" w:hAnsi="Calibri" w:cs="Arial"/>
        </w:rPr>
        <w:t xml:space="preserve">Στρατηγικός σχεδιασμός Ιδρύματος και εφαρμογή/υλοποίησή του </w:t>
      </w:r>
    </w:p>
    <w:p w:rsidR="00001479" w:rsidRPr="00001479" w:rsidRDefault="00001479" w:rsidP="00001479">
      <w:pPr>
        <w:numPr>
          <w:ilvl w:val="1"/>
          <w:numId w:val="4"/>
        </w:numPr>
        <w:suppressAutoHyphens/>
        <w:spacing w:after="120" w:line="240" w:lineRule="auto"/>
        <w:jc w:val="both"/>
        <w:rPr>
          <w:rFonts w:ascii="Calibri" w:eastAsia="Calibri" w:hAnsi="Calibri" w:cs="Arial"/>
        </w:rPr>
      </w:pPr>
      <w:r w:rsidRPr="00001479">
        <w:rPr>
          <w:rFonts w:ascii="Calibri" w:eastAsia="Calibri" w:hAnsi="Calibri" w:cs="Arial"/>
        </w:rPr>
        <w:t>Υποστήριξη κατάρτισης πλήρους στρατηγικού σχεδίου της ΑΣΠΑΙΤΕ.</w:t>
      </w:r>
    </w:p>
    <w:p w:rsidR="00001479" w:rsidRPr="00001479" w:rsidRDefault="00001479" w:rsidP="00001479">
      <w:pPr>
        <w:ind w:left="1440"/>
        <w:jc w:val="both"/>
        <w:rPr>
          <w:rFonts w:ascii="Calibri" w:eastAsia="Calibri" w:hAnsi="Calibri" w:cs="Arial"/>
        </w:rPr>
      </w:pPr>
      <w:r w:rsidRPr="00001479">
        <w:rPr>
          <w:rFonts w:ascii="Calibri" w:eastAsia="Calibri" w:hAnsi="Calibri" w:cs="Arial"/>
        </w:rPr>
        <w:t xml:space="preserve">Το στρατηγικό σχέδιο θα περιλαμβάνει τη διατύπωση του οράματος βάσει των αξιών της και τη θέση της ΑΣΠΑΙΤΕ σε τοπικό, εθνικό, ευρωπαϊκό και διεθνές επίπεδο, τη δέουσα στρατηγική ανάλυση (SWOT </w:t>
      </w:r>
      <w:proofErr w:type="spellStart"/>
      <w:r w:rsidRPr="00001479">
        <w:rPr>
          <w:rFonts w:ascii="Calibri" w:eastAsia="Calibri" w:hAnsi="Calibri" w:cs="Arial"/>
        </w:rPr>
        <w:t>analysis</w:t>
      </w:r>
      <w:proofErr w:type="spellEnd"/>
      <w:r w:rsidRPr="00001479">
        <w:rPr>
          <w:rFonts w:ascii="Calibri" w:eastAsia="Calibri" w:hAnsi="Calibri" w:cs="Arial"/>
        </w:rPr>
        <w:t xml:space="preserve">) και επιλογές στρατηγικής ανάπτυξης του Ιδρύματος στο πλαίσιο της εθνικής και της ευρωπαϊκής πολιτικής για την ανώτατη εκπαίδευση, την έρευνα και την καινοτομία, καθώς και τις λοιπές στρατηγικές (εθνικές, ευρωπαϊκές ή διεθνών οργανισμών). </w:t>
      </w:r>
    </w:p>
    <w:p w:rsidR="00001479" w:rsidRPr="00001479" w:rsidRDefault="00001479" w:rsidP="00001479">
      <w:pPr>
        <w:numPr>
          <w:ilvl w:val="1"/>
          <w:numId w:val="4"/>
        </w:numPr>
        <w:suppressAutoHyphens/>
        <w:spacing w:after="120" w:line="240" w:lineRule="auto"/>
        <w:jc w:val="both"/>
        <w:rPr>
          <w:rFonts w:ascii="Calibri" w:eastAsia="Calibri" w:hAnsi="Calibri" w:cs="Arial"/>
        </w:rPr>
      </w:pPr>
      <w:r w:rsidRPr="00001479">
        <w:rPr>
          <w:rFonts w:ascii="Calibri" w:eastAsia="Calibri" w:hAnsi="Calibri" w:cs="Arial"/>
        </w:rPr>
        <w:t xml:space="preserve">Υποστήριξη κατάρτισης επιχειρησιακών/αναπτυξιακών σχεδίων και σχεδίων δράσης </w:t>
      </w:r>
    </w:p>
    <w:p w:rsidR="00001479" w:rsidRPr="00001479" w:rsidRDefault="00001479" w:rsidP="00001479">
      <w:pPr>
        <w:numPr>
          <w:ilvl w:val="1"/>
          <w:numId w:val="4"/>
        </w:numPr>
        <w:suppressAutoHyphens/>
        <w:spacing w:after="120" w:line="240" w:lineRule="auto"/>
        <w:jc w:val="both"/>
        <w:rPr>
          <w:rFonts w:ascii="Calibri" w:eastAsia="Calibri" w:hAnsi="Calibri" w:cs="Arial"/>
        </w:rPr>
      </w:pPr>
      <w:r w:rsidRPr="00001479">
        <w:rPr>
          <w:rFonts w:ascii="Calibri" w:eastAsia="Calibri" w:hAnsi="Calibri" w:cs="Arial"/>
        </w:rPr>
        <w:t xml:space="preserve">Εκπόνηση μελετών </w:t>
      </w:r>
    </w:p>
    <w:p w:rsidR="00001479" w:rsidRPr="00001479" w:rsidRDefault="00001479" w:rsidP="00001479">
      <w:pPr>
        <w:ind w:left="1440"/>
        <w:jc w:val="both"/>
        <w:rPr>
          <w:rFonts w:ascii="Calibri" w:eastAsia="Calibri" w:hAnsi="Calibri" w:cs="Arial"/>
        </w:rPr>
      </w:pPr>
      <w:r w:rsidRPr="00001479">
        <w:rPr>
          <w:rFonts w:ascii="Calibri" w:eastAsia="Calibri" w:hAnsi="Calibri" w:cs="Arial"/>
        </w:rPr>
        <w:t>Η κατάρτιση του στρατηγικού σχεδίου, των επιχειρησιακών/αναπτυξιακών σχεδίων και των σχεδίων δράσης θα συνοδεύονται από τις αναγκαίες μελέτες που υποστηρίζουν την τεκμηρίωσή τους και την εφαρμογή τους.</w:t>
      </w:r>
    </w:p>
    <w:p w:rsidR="00001479" w:rsidRPr="00001479" w:rsidRDefault="00001479" w:rsidP="00001479">
      <w:pPr>
        <w:numPr>
          <w:ilvl w:val="0"/>
          <w:numId w:val="4"/>
        </w:numPr>
        <w:suppressAutoHyphens/>
        <w:spacing w:after="120" w:line="240" w:lineRule="auto"/>
        <w:jc w:val="both"/>
        <w:rPr>
          <w:rFonts w:ascii="Calibri" w:eastAsia="Calibri" w:hAnsi="Calibri" w:cs="Arial"/>
        </w:rPr>
      </w:pPr>
      <w:r w:rsidRPr="00001479">
        <w:rPr>
          <w:rFonts w:ascii="Calibri" w:eastAsia="Calibri" w:hAnsi="Calibri" w:cs="Arial"/>
        </w:rPr>
        <w:t>Λειτουργία ειδικού πληροφοριακού συστήματος</w:t>
      </w:r>
    </w:p>
    <w:p w:rsidR="00001479" w:rsidRPr="00001479" w:rsidRDefault="00001479" w:rsidP="00001479">
      <w:pPr>
        <w:ind w:left="720"/>
        <w:jc w:val="both"/>
        <w:rPr>
          <w:rFonts w:ascii="Calibri" w:eastAsia="Calibri" w:hAnsi="Calibri" w:cs="Arial"/>
        </w:rPr>
      </w:pPr>
      <w:r w:rsidRPr="00001479">
        <w:rPr>
          <w:rFonts w:ascii="Calibri" w:eastAsia="Calibri" w:hAnsi="Calibri" w:cs="Arial"/>
        </w:rPr>
        <w:t>Λειτουργία ειδικού πληροφοριακού συστήματος με προσέγγιση διαχείρισης έργου (</w:t>
      </w:r>
      <w:proofErr w:type="spellStart"/>
      <w:r w:rsidRPr="00001479">
        <w:rPr>
          <w:rFonts w:ascii="Calibri" w:eastAsia="Calibri" w:hAnsi="Calibri" w:cs="Arial"/>
        </w:rPr>
        <w:t>project</w:t>
      </w:r>
      <w:proofErr w:type="spellEnd"/>
      <w:r w:rsidRPr="00001479">
        <w:rPr>
          <w:rFonts w:ascii="Calibri" w:eastAsia="Calibri" w:hAnsi="Calibri" w:cs="Arial"/>
        </w:rPr>
        <w:t xml:space="preserve"> </w:t>
      </w:r>
      <w:proofErr w:type="spellStart"/>
      <w:r w:rsidRPr="00001479">
        <w:rPr>
          <w:rFonts w:ascii="Calibri" w:eastAsia="Calibri" w:hAnsi="Calibri" w:cs="Arial"/>
        </w:rPr>
        <w:t>management</w:t>
      </w:r>
      <w:proofErr w:type="spellEnd"/>
      <w:r w:rsidRPr="00001479">
        <w:rPr>
          <w:rFonts w:ascii="Calibri" w:eastAsia="Calibri" w:hAnsi="Calibri" w:cs="Arial"/>
        </w:rPr>
        <w:t>) για την αποτύπωση, διαχείριση και παρακολούθηση του στρατηγικού σχεδίου, προγραμματικής συμφωνίας και ειδικών δράσεων καθώς και την παρακολούθηση δεικτών επιδόσεων (</w:t>
      </w:r>
      <w:proofErr w:type="spellStart"/>
      <w:r w:rsidRPr="00001479">
        <w:rPr>
          <w:rFonts w:ascii="Calibri" w:eastAsia="Calibri" w:hAnsi="Calibri" w:cs="Arial"/>
        </w:rPr>
        <w:t>KPIs</w:t>
      </w:r>
      <w:proofErr w:type="spellEnd"/>
      <w:r w:rsidRPr="00001479">
        <w:rPr>
          <w:rFonts w:ascii="Calibri" w:eastAsia="Calibri" w:hAnsi="Calibri" w:cs="Arial"/>
        </w:rPr>
        <w:t xml:space="preserve">). Ειδικότερα, στο πληροφοριακό σύστημα θα καταγράφονται στοιχεία που αφορούν τις ακαδημαϊκές μονάδες της ΑΠΑΙΤΕ, τις υποδομές, τις διοικητικές υπηρεσίες, την ερευνητική δραστηριότητα </w:t>
      </w:r>
      <w:r w:rsidRPr="00001479">
        <w:rPr>
          <w:rFonts w:ascii="Calibri" w:eastAsia="Calibri" w:hAnsi="Calibri" w:cs="Arial"/>
        </w:rPr>
        <w:lastRenderedPageBreak/>
        <w:t xml:space="preserve">κ.λπ. Το πληροφοριακό σύστημα θα αναπτυχθεί αυτοτελώς και θα ληφθεί μέριμνα για τη </w:t>
      </w:r>
      <w:proofErr w:type="spellStart"/>
      <w:r w:rsidRPr="00001479">
        <w:rPr>
          <w:rFonts w:ascii="Calibri" w:eastAsia="Calibri" w:hAnsi="Calibri" w:cs="Arial"/>
        </w:rPr>
        <w:t>διαλειτουργικότητά</w:t>
      </w:r>
      <w:proofErr w:type="spellEnd"/>
      <w:r w:rsidRPr="00001479">
        <w:rPr>
          <w:rFonts w:ascii="Calibri" w:eastAsia="Calibri" w:hAnsi="Calibri" w:cs="Arial"/>
        </w:rPr>
        <w:t xml:space="preserve"> του με άλλα υφιστάμενα ΠΣ του ΑΕΙ καθώς και με το ΠΣ της ΕΘΑΑΕ. </w:t>
      </w:r>
    </w:p>
    <w:p w:rsidR="00001479" w:rsidRPr="00001479" w:rsidRDefault="00001479" w:rsidP="00001479">
      <w:pPr>
        <w:suppressAutoHyphens/>
        <w:spacing w:after="60" w:line="240" w:lineRule="auto"/>
        <w:jc w:val="both"/>
        <w:rPr>
          <w:rFonts w:ascii="Calibri" w:eastAsia="Times New Roman" w:hAnsi="Calibri" w:cs="Arial"/>
          <w:b/>
          <w:color w:val="002060"/>
          <w:lang w:eastAsia="zh-CN"/>
        </w:rPr>
      </w:pPr>
      <w:r w:rsidRPr="00001479">
        <w:rPr>
          <w:rFonts w:ascii="Calibri" w:eastAsia="Times New Roman" w:hAnsi="Calibri" w:cs="Arial"/>
          <w:b/>
          <w:color w:val="002060"/>
          <w:lang w:eastAsia="zh-CN"/>
        </w:rPr>
        <w:t>Β. Αντικείμενο των Υπηρεσιών</w:t>
      </w:r>
    </w:p>
    <w:p w:rsidR="00001479" w:rsidRPr="00001479" w:rsidRDefault="00001479" w:rsidP="00001479">
      <w:pPr>
        <w:suppressAutoHyphens/>
        <w:spacing w:after="120" w:line="240" w:lineRule="auto"/>
        <w:jc w:val="both"/>
        <w:rPr>
          <w:rFonts w:ascii="Calibri" w:eastAsia="Times New Roman" w:hAnsi="Calibri" w:cs="Calibri"/>
          <w:szCs w:val="24"/>
          <w:highlight w:val="yellow"/>
          <w:lang w:eastAsia="zh-CN"/>
        </w:rPr>
      </w:pPr>
      <w:r w:rsidRPr="00001479">
        <w:rPr>
          <w:rFonts w:ascii="Calibri" w:eastAsia="Calibri" w:hAnsi="Calibri" w:cs="Arial"/>
        </w:rPr>
        <w:t xml:space="preserve">Στο ανωτέρω πλαίσιο, αντικείμενο της σύμβασης είναι η εκπόνηση τεσσάρων (4) μελετών, ήτοι Μελέτη συγκριτικής αξιολόγησης, Μελέτη - Σχέδιο δράσης για την υλοποίηση του στρατηγικού/ επιχειρησιακού σχεδίου, Μελέτη σχετικά με τις διαδικασίες </w:t>
      </w:r>
      <w:proofErr w:type="spellStart"/>
      <w:r w:rsidRPr="00001479">
        <w:rPr>
          <w:rFonts w:ascii="Calibri" w:eastAsia="Calibri" w:hAnsi="Calibri" w:cs="Arial"/>
        </w:rPr>
        <w:t>επικαιροποίησης</w:t>
      </w:r>
      <w:proofErr w:type="spellEnd"/>
      <w:r w:rsidRPr="00001479">
        <w:rPr>
          <w:rFonts w:ascii="Calibri" w:eastAsia="Calibri" w:hAnsi="Calibri" w:cs="Arial"/>
        </w:rPr>
        <w:t>, τροποποίησης του στρατηγικού/ επιχειρησιακού σχεδίου καθώς και τον μηχανισμό συγκέντρωσης των δεικτών αξιολόγησης της απόδοσης του βαθμού επίτευξης /των στόχων του στρατηγικού σχεδίου και Μελέτη σχετικά με τα χρηματοδοτικά εργαλεία υλοποίησης του στρατηγικού σχεδιασμού.</w:t>
      </w:r>
    </w:p>
    <w:p w:rsidR="00001479" w:rsidRPr="00001479" w:rsidRDefault="00001479" w:rsidP="00001479">
      <w:p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Ειδικότερα, το έργο περιλαμβάνει:</w:t>
      </w:r>
    </w:p>
    <w:p w:rsidR="00001479" w:rsidRPr="00001479" w:rsidRDefault="00001479" w:rsidP="00001479">
      <w:pPr>
        <w:numPr>
          <w:ilvl w:val="0"/>
          <w:numId w:val="1"/>
        </w:numPr>
        <w:suppressAutoHyphens/>
        <w:spacing w:after="120" w:line="240" w:lineRule="auto"/>
        <w:contextualSpacing/>
        <w:jc w:val="both"/>
        <w:rPr>
          <w:rFonts w:ascii="Calibri" w:eastAsia="Times New Roman" w:hAnsi="Calibri" w:cs="Times New Roman"/>
          <w:b/>
          <w:bCs/>
          <w:szCs w:val="24"/>
          <w:lang w:eastAsia="zh-CN"/>
        </w:rPr>
      </w:pPr>
      <w:r w:rsidRPr="00001479">
        <w:rPr>
          <w:rFonts w:ascii="Calibri" w:eastAsia="Times New Roman" w:hAnsi="Calibri" w:cs="Times New Roman"/>
          <w:b/>
          <w:bCs/>
          <w:szCs w:val="24"/>
          <w:lang w:eastAsia="zh-CN"/>
        </w:rPr>
        <w:t xml:space="preserve">Σύνταξη Μελέτης συγκριτικής αξιολόγησης </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 xml:space="preserve">Ο Ανάδοχος θα συντάξει μελέτη συγκριτικής αξιολόγησης, η οποία θα υποστηρίζει την τεκμηρίωση του στρατηγικού/ επιχειρησιακού σχεδίου της ΑΣΠΑΙΤΕ. </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Ενδεικτικά, στο πλαίσιο της μελέτης ο Ανάδοχος θα:</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αναλύσει στρατηγικές εθνικών, ευρωπαϊκών ή διεθνών οργανισμών σχετικών με την ανώτατη εκπαίδευση, την έρευνα και την καινοτομία. Οι εθνικοί, ευρωπαϊκοί ή διεθνείς οργανισμοί θα επιλεχθούν σε συνεργασία με την Αναθέτουσα Αρχή.</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αποτυπώσει προτάσεις για την καλύτερη κατάρτιση του στρατηγικού σχεδίου της ΑΣΠΑΙΤΕ.</w:t>
      </w:r>
    </w:p>
    <w:p w:rsidR="00001479" w:rsidRPr="00001479" w:rsidRDefault="00001479" w:rsidP="00001479">
      <w:pPr>
        <w:contextualSpacing/>
        <w:jc w:val="both"/>
        <w:rPr>
          <w:rFonts w:ascii="Calibri" w:eastAsia="Times New Roman" w:hAnsi="Calibri" w:cs="Times New Roman"/>
          <w:szCs w:val="24"/>
          <w:lang w:eastAsia="zh-CN"/>
        </w:rPr>
      </w:pPr>
    </w:p>
    <w:p w:rsidR="00001479" w:rsidRPr="00001479" w:rsidRDefault="00001479" w:rsidP="00001479">
      <w:pPr>
        <w:numPr>
          <w:ilvl w:val="0"/>
          <w:numId w:val="1"/>
        </w:numPr>
        <w:suppressAutoHyphens/>
        <w:spacing w:after="120" w:line="240" w:lineRule="auto"/>
        <w:contextualSpacing/>
        <w:jc w:val="both"/>
        <w:rPr>
          <w:rFonts w:ascii="Calibri" w:eastAsia="Times New Roman" w:hAnsi="Calibri" w:cs="Times New Roman"/>
          <w:b/>
          <w:bCs/>
          <w:szCs w:val="24"/>
          <w:lang w:eastAsia="zh-CN"/>
        </w:rPr>
      </w:pPr>
      <w:r w:rsidRPr="00001479">
        <w:rPr>
          <w:rFonts w:ascii="Calibri" w:eastAsia="Times New Roman" w:hAnsi="Calibri" w:cs="Times New Roman"/>
          <w:b/>
          <w:bCs/>
          <w:szCs w:val="24"/>
          <w:lang w:eastAsia="zh-CN"/>
        </w:rPr>
        <w:t>Σύνταξη Μελέτης - Σχεδίου δράσης για την υλοποίηση του στρατηγικού/ επιχειρησιακού σχεδίου</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Ο Ανάδοχος θα συντάξει μελέτη – σχέδιο δράσης για την υλοποίηση του στρατηγικού/ επιχειρησιακού σχεδίου της ΑΣΠΑΙΤΕ.</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Ενδεικτικά, στο πλαίσιο της μελέτης ο Ανάδοχος θα:</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περιγράψει το στρατηγικό σχεδιασμό της ΑΣΠΑΙΤΕ με βάση τα στοιχεία που θα δοθούν από την Αναθέτουσα Αρχή,</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αναλύσει τις δράσεις που συνδέονται με το στρατηγικό σχεδιασμό, συμπεριλαμβάνοντας για κάθε δράση συνοπτική περιγραφή, ωφελούμενους, αναμενόμενα αποτελέσματα, διάρκεια υλοποίησης, προβλεπόμενο χρονοδιάγραμμα, προβλεπόμενη ημερομηνία έναρξης,</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περιγράψει ένα σύστημα διακυβέρνησης και παρακολούθησης του σχεδίου δράσης.</w:t>
      </w:r>
    </w:p>
    <w:p w:rsidR="00001479" w:rsidRPr="00001479" w:rsidRDefault="00001479" w:rsidP="00001479">
      <w:pPr>
        <w:contextualSpacing/>
        <w:jc w:val="both"/>
        <w:rPr>
          <w:rFonts w:ascii="Calibri" w:eastAsia="Times New Roman" w:hAnsi="Calibri" w:cs="Times New Roman"/>
          <w:szCs w:val="24"/>
          <w:lang w:eastAsia="zh-CN"/>
        </w:rPr>
      </w:pPr>
    </w:p>
    <w:p w:rsidR="00001479" w:rsidRPr="00001479" w:rsidRDefault="00001479" w:rsidP="00001479">
      <w:pPr>
        <w:numPr>
          <w:ilvl w:val="0"/>
          <w:numId w:val="1"/>
        </w:numPr>
        <w:suppressAutoHyphens/>
        <w:spacing w:after="120" w:line="240" w:lineRule="auto"/>
        <w:contextualSpacing/>
        <w:jc w:val="both"/>
        <w:rPr>
          <w:rFonts w:ascii="Calibri" w:eastAsia="Times New Roman" w:hAnsi="Calibri" w:cs="Times New Roman"/>
          <w:b/>
          <w:bCs/>
          <w:szCs w:val="24"/>
          <w:lang w:eastAsia="zh-CN"/>
        </w:rPr>
      </w:pPr>
      <w:r w:rsidRPr="00001479">
        <w:rPr>
          <w:rFonts w:ascii="Calibri" w:eastAsia="Times New Roman" w:hAnsi="Calibri" w:cs="Times New Roman"/>
          <w:b/>
          <w:bCs/>
          <w:szCs w:val="24"/>
          <w:lang w:eastAsia="zh-CN"/>
        </w:rPr>
        <w:t xml:space="preserve">Σύνταξη Μελέτης σχετικά με τις διαδικασίες </w:t>
      </w:r>
      <w:proofErr w:type="spellStart"/>
      <w:r w:rsidRPr="00001479">
        <w:rPr>
          <w:rFonts w:ascii="Calibri" w:eastAsia="Times New Roman" w:hAnsi="Calibri" w:cs="Times New Roman"/>
          <w:b/>
          <w:bCs/>
          <w:szCs w:val="24"/>
          <w:lang w:eastAsia="zh-CN"/>
        </w:rPr>
        <w:t>επικαιροποίησης</w:t>
      </w:r>
      <w:proofErr w:type="spellEnd"/>
      <w:r w:rsidRPr="00001479">
        <w:rPr>
          <w:rFonts w:ascii="Calibri" w:eastAsia="Times New Roman" w:hAnsi="Calibri" w:cs="Times New Roman"/>
          <w:b/>
          <w:bCs/>
          <w:szCs w:val="24"/>
          <w:lang w:eastAsia="zh-CN"/>
        </w:rPr>
        <w:t>, τροποποίησης του στρατηγικού/ επιχειρησιακού σχεδίου καθώς και τον μηχανισμό συγκέντρωσης των δεικτών αξιολόγησης της απόδοσης του βαθμού επίτευξης των στόχων του στρατηγικού σχεδίου</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 xml:space="preserve">Ο Ανάδοχος θα συντάξει μελέτη σχετικά με τις διαδικασίες </w:t>
      </w:r>
      <w:proofErr w:type="spellStart"/>
      <w:r w:rsidRPr="00001479">
        <w:rPr>
          <w:rFonts w:ascii="Calibri" w:eastAsia="Times New Roman" w:hAnsi="Calibri" w:cs="Times New Roman"/>
          <w:szCs w:val="24"/>
          <w:lang w:eastAsia="zh-CN"/>
        </w:rPr>
        <w:t>επικαιροποίησης</w:t>
      </w:r>
      <w:proofErr w:type="spellEnd"/>
      <w:r w:rsidRPr="00001479">
        <w:rPr>
          <w:rFonts w:ascii="Calibri" w:eastAsia="Times New Roman" w:hAnsi="Calibri" w:cs="Times New Roman"/>
          <w:szCs w:val="24"/>
          <w:lang w:eastAsia="zh-CN"/>
        </w:rPr>
        <w:t>, τροποποίησης του στρατηγικού/ επιχειρησιακού σχεδίου καθώς και τον μηχανισμό συγκέντρωσης των δεικτών αξιολόγησης της απόδοσης του βαθμού επίτευξης των στόχων του στρατηγικού σχεδίου της ΑΣΠΑΙΤΕ.</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Ενδεικτικά, στο πλαίσιο της μελέτης ο Ανάδοχος θα:</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 xml:space="preserve">περιγράψει τη διαδικασία </w:t>
      </w:r>
      <w:proofErr w:type="spellStart"/>
      <w:r w:rsidRPr="00001479">
        <w:rPr>
          <w:rFonts w:ascii="Calibri" w:eastAsia="Times New Roman" w:hAnsi="Calibri" w:cs="Times New Roman"/>
          <w:szCs w:val="24"/>
          <w:lang w:eastAsia="zh-CN"/>
        </w:rPr>
        <w:t>επικαιροποίησης</w:t>
      </w:r>
      <w:proofErr w:type="spellEnd"/>
      <w:r w:rsidRPr="00001479">
        <w:rPr>
          <w:rFonts w:ascii="Calibri" w:eastAsia="Times New Roman" w:hAnsi="Calibri" w:cs="Times New Roman"/>
          <w:szCs w:val="24"/>
          <w:lang w:eastAsia="zh-CN"/>
        </w:rPr>
        <w:t>, τροποποίησης του στρατηγικού/ επιχειρησιακού σχεδίου,</w:t>
      </w:r>
    </w:p>
    <w:p w:rsidR="00001479" w:rsidRPr="00001479" w:rsidRDefault="00001479" w:rsidP="00001479">
      <w:pPr>
        <w:numPr>
          <w:ilvl w:val="0"/>
          <w:numId w:val="6"/>
        </w:numPr>
        <w:suppressAutoHyphens/>
        <w:spacing w:after="120" w:line="240" w:lineRule="auto"/>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περιγράψει τη διαδικασία και το μηχανισμό συγκέντρωσης των δεικτών αξιολόγησης της απόδοσης του βαθμού επίτευξης των στόχων του στρατηγικού σχεδίου.</w:t>
      </w:r>
    </w:p>
    <w:p w:rsidR="00001479" w:rsidRPr="00001479" w:rsidRDefault="00001479" w:rsidP="00001479">
      <w:pPr>
        <w:contextualSpacing/>
        <w:jc w:val="both"/>
        <w:rPr>
          <w:rFonts w:ascii="Calibri" w:eastAsia="Times New Roman" w:hAnsi="Calibri" w:cs="Times New Roman"/>
          <w:szCs w:val="24"/>
          <w:lang w:eastAsia="zh-CN"/>
        </w:rPr>
      </w:pPr>
    </w:p>
    <w:p w:rsidR="00001479" w:rsidRPr="00001479" w:rsidRDefault="00001479" w:rsidP="00001479">
      <w:pPr>
        <w:numPr>
          <w:ilvl w:val="0"/>
          <w:numId w:val="1"/>
        </w:numPr>
        <w:suppressAutoHyphens/>
        <w:spacing w:after="120" w:line="240" w:lineRule="auto"/>
        <w:contextualSpacing/>
        <w:jc w:val="both"/>
        <w:rPr>
          <w:rFonts w:ascii="Calibri" w:eastAsia="Times New Roman" w:hAnsi="Calibri" w:cs="Times New Roman"/>
          <w:b/>
          <w:bCs/>
          <w:szCs w:val="24"/>
          <w:lang w:eastAsia="zh-CN"/>
        </w:rPr>
      </w:pPr>
      <w:r w:rsidRPr="00001479">
        <w:rPr>
          <w:rFonts w:ascii="Calibri" w:eastAsia="Times New Roman" w:hAnsi="Calibri" w:cs="Times New Roman"/>
          <w:b/>
          <w:bCs/>
          <w:szCs w:val="24"/>
          <w:lang w:eastAsia="zh-CN"/>
        </w:rPr>
        <w:t>Σύνταξη Μελέτης σχετικά με τα χρηματοδοτικά εργαλεία υλοποίησης του στρατηγικού σχεδιασμού</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Ο Ανάδοχος θα συντάξει μελέτη σχετικά με τον προσδιορισμό των χρηματοδοτικών εργαλείων υλοποίησης του στρατηγικού σχεδιασμού της ΑΣΠΑΙΤΕ.</w:t>
      </w:r>
    </w:p>
    <w:p w:rsidR="00001479" w:rsidRPr="00001479" w:rsidRDefault="00001479" w:rsidP="00001479">
      <w:pPr>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Ενδεικτικά, στο πλαίσιο της μελέτης ο Ανάδοχος θα:</w:t>
      </w:r>
    </w:p>
    <w:p w:rsidR="00001479" w:rsidRPr="00001479" w:rsidRDefault="00001479" w:rsidP="00001479">
      <w:pPr>
        <w:numPr>
          <w:ilvl w:val="0"/>
          <w:numId w:val="5"/>
        </w:numPr>
        <w:suppressAutoHyphens/>
        <w:spacing w:after="120" w:line="240" w:lineRule="auto"/>
        <w:ind w:left="567"/>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καταγράψει τα έργα της ΑΣΠΑΙΤΕ που είναι σε φάση υλοποίησης, στο πλαίσιο διάφορων χρηματοδοτικών εργαλείων, και θα τα κατηγοριοποιήσει ανάλογα με το είδος του έργου (εκπαίδευσης, πληροφορικής, κλπ.) και την πηγή χρηματοδότησης,</w:t>
      </w:r>
    </w:p>
    <w:p w:rsidR="00001479" w:rsidRPr="00001479" w:rsidRDefault="00001479" w:rsidP="00001479">
      <w:pPr>
        <w:numPr>
          <w:ilvl w:val="0"/>
          <w:numId w:val="5"/>
        </w:numPr>
        <w:suppressAutoHyphens/>
        <w:spacing w:after="120" w:line="240" w:lineRule="auto"/>
        <w:ind w:left="567"/>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καταγράψει πιθανά χρηματοδοτικά εργαλεία για την υλοποίηση του στρατηγικού σχεδιασμού της ΑΣΠΑΙΤΕ,</w:t>
      </w:r>
    </w:p>
    <w:p w:rsidR="00001479" w:rsidRPr="00001479" w:rsidRDefault="00001479" w:rsidP="00001479">
      <w:pPr>
        <w:numPr>
          <w:ilvl w:val="0"/>
          <w:numId w:val="5"/>
        </w:numPr>
        <w:suppressAutoHyphens/>
        <w:spacing w:after="120" w:line="240" w:lineRule="auto"/>
        <w:ind w:left="567"/>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συντάξει σχέδιο πρότασης με ενδεικτικά έργα που θα μπορούσαν να χρηματοδοτηθούν από τα χρηματοδοτικά εργαλεία,</w:t>
      </w:r>
    </w:p>
    <w:p w:rsidR="00001479" w:rsidRPr="00001479" w:rsidRDefault="00001479" w:rsidP="00001479">
      <w:pPr>
        <w:numPr>
          <w:ilvl w:val="0"/>
          <w:numId w:val="5"/>
        </w:numPr>
        <w:suppressAutoHyphens/>
        <w:spacing w:after="120" w:line="240" w:lineRule="auto"/>
        <w:ind w:left="567"/>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υποστηρίξει την Αναθέτουσα Αρχή στην κατηγοριοποίηση και ιεράρχηση των ανωτέρω έργων,</w:t>
      </w:r>
    </w:p>
    <w:p w:rsidR="00001479" w:rsidRPr="00001479" w:rsidRDefault="00001479" w:rsidP="00001479">
      <w:pPr>
        <w:numPr>
          <w:ilvl w:val="0"/>
          <w:numId w:val="5"/>
        </w:numPr>
        <w:suppressAutoHyphens/>
        <w:spacing w:after="120" w:line="240" w:lineRule="auto"/>
        <w:ind w:left="567"/>
        <w:contextualSpacing/>
        <w:jc w:val="both"/>
        <w:rPr>
          <w:rFonts w:ascii="Calibri" w:eastAsia="Times New Roman" w:hAnsi="Calibri" w:cs="Times New Roman"/>
          <w:szCs w:val="24"/>
          <w:lang w:eastAsia="zh-CN"/>
        </w:rPr>
      </w:pPr>
      <w:r w:rsidRPr="00001479">
        <w:rPr>
          <w:rFonts w:ascii="Calibri" w:eastAsia="Times New Roman" w:hAnsi="Calibri" w:cs="Times New Roman"/>
          <w:szCs w:val="24"/>
          <w:lang w:eastAsia="zh-CN"/>
        </w:rPr>
        <w:t>προετοιμάσει ένα οδικό χάρτη (</w:t>
      </w:r>
      <w:proofErr w:type="spellStart"/>
      <w:r w:rsidRPr="00001479">
        <w:rPr>
          <w:rFonts w:ascii="Calibri" w:eastAsia="Times New Roman" w:hAnsi="Calibri" w:cs="Times New Roman"/>
          <w:szCs w:val="24"/>
          <w:lang w:eastAsia="zh-CN"/>
        </w:rPr>
        <w:t>roadmap</w:t>
      </w:r>
      <w:proofErr w:type="spellEnd"/>
      <w:r w:rsidRPr="00001479">
        <w:rPr>
          <w:rFonts w:ascii="Calibri" w:eastAsia="Times New Roman" w:hAnsi="Calibri" w:cs="Times New Roman"/>
          <w:szCs w:val="24"/>
          <w:lang w:eastAsia="zh-CN"/>
        </w:rPr>
        <w:t>) που θα εξειδικεύει τις απαραίτητες ενέργειες και τα χρονοδιαγράμματα για το σχεδιασμό, την προετοιμασία, την ωρίμανση και την υλοποίηση των ανωτέρω έργων.</w:t>
      </w:r>
    </w:p>
    <w:p w:rsidR="00001479" w:rsidRPr="00001479" w:rsidRDefault="00001479" w:rsidP="00001479">
      <w:pPr>
        <w:suppressAutoHyphens/>
        <w:spacing w:after="120" w:line="240" w:lineRule="auto"/>
        <w:jc w:val="both"/>
        <w:rPr>
          <w:rFonts w:ascii="Calibri" w:eastAsia="Times New Roman" w:hAnsi="Calibri" w:cs="Calibri"/>
          <w:b/>
          <w:bCs/>
          <w:szCs w:val="24"/>
          <w:lang w:eastAsia="zh-CN"/>
        </w:rPr>
      </w:pPr>
      <w:r w:rsidRPr="00001479">
        <w:rPr>
          <w:rFonts w:ascii="Calibri" w:eastAsia="Times New Roman" w:hAnsi="Calibri" w:cs="Calibri"/>
          <w:b/>
          <w:bCs/>
          <w:szCs w:val="24"/>
          <w:lang w:eastAsia="zh-CN"/>
        </w:rPr>
        <w:t>Παραδοτέα</w:t>
      </w:r>
    </w:p>
    <w:p w:rsidR="00001479" w:rsidRPr="00001479" w:rsidRDefault="00001479" w:rsidP="00001479">
      <w:pPr>
        <w:numPr>
          <w:ilvl w:val="0"/>
          <w:numId w:val="4"/>
        </w:num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Μελέτη συγκριτικής αξιολόγησης</w:t>
      </w:r>
    </w:p>
    <w:p w:rsidR="00001479" w:rsidRPr="00001479" w:rsidRDefault="00001479" w:rsidP="00001479">
      <w:pPr>
        <w:numPr>
          <w:ilvl w:val="0"/>
          <w:numId w:val="4"/>
        </w:num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Μελέτη - Σχέδιο δράσης για την υλοποίηση του στρατηγικού/ επιχειρησιακού σχεδίου</w:t>
      </w:r>
    </w:p>
    <w:p w:rsidR="00001479" w:rsidRPr="00001479" w:rsidRDefault="00001479" w:rsidP="00001479">
      <w:pPr>
        <w:numPr>
          <w:ilvl w:val="0"/>
          <w:numId w:val="4"/>
        </w:num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 xml:space="preserve">Μελέτη σχετικά με τις διαδικασίες </w:t>
      </w:r>
      <w:proofErr w:type="spellStart"/>
      <w:r w:rsidRPr="00001479">
        <w:rPr>
          <w:rFonts w:ascii="Calibri" w:eastAsia="Times New Roman" w:hAnsi="Calibri" w:cs="Calibri"/>
          <w:szCs w:val="24"/>
          <w:lang w:eastAsia="zh-CN"/>
        </w:rPr>
        <w:t>επικαιροποίησης</w:t>
      </w:r>
      <w:proofErr w:type="spellEnd"/>
      <w:r w:rsidRPr="00001479">
        <w:rPr>
          <w:rFonts w:ascii="Calibri" w:eastAsia="Times New Roman" w:hAnsi="Calibri" w:cs="Calibri"/>
          <w:szCs w:val="24"/>
          <w:lang w:eastAsia="zh-CN"/>
        </w:rPr>
        <w:t xml:space="preserve">, τροποποίησης του στρατηγικού/ επιχειρησιακού σχεδίου καθώς και τον μηχανισμό συγκέντρωσης των δεικτών αξιολόγησης της απόδοσης του βαθμού επίτευξης /των στόχων του στρατηγικού σχεδίου </w:t>
      </w:r>
    </w:p>
    <w:p w:rsidR="00001479" w:rsidRPr="00001479" w:rsidRDefault="00001479" w:rsidP="00001479">
      <w:pPr>
        <w:numPr>
          <w:ilvl w:val="0"/>
          <w:numId w:val="4"/>
        </w:num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Μελέτη σχετικά με τα χρηματοδοτικά εργαλεία υλοποίησης του στρατηγικού σχεδιασμού.</w:t>
      </w:r>
    </w:p>
    <w:p w:rsidR="00001479" w:rsidRPr="00001479" w:rsidRDefault="00001479" w:rsidP="00001479">
      <w:pPr>
        <w:suppressAutoHyphens/>
        <w:spacing w:after="120" w:line="240" w:lineRule="auto"/>
        <w:jc w:val="both"/>
        <w:rPr>
          <w:rFonts w:ascii="Calibri" w:eastAsia="Times New Roman" w:hAnsi="Calibri" w:cs="Calibri"/>
          <w:b/>
          <w:bCs/>
          <w:szCs w:val="24"/>
          <w:lang w:eastAsia="zh-CN"/>
        </w:rPr>
      </w:pPr>
    </w:p>
    <w:p w:rsidR="00001479" w:rsidRPr="00001479" w:rsidRDefault="00001479" w:rsidP="00001479">
      <w:pPr>
        <w:suppressAutoHyphens/>
        <w:spacing w:after="60" w:line="240" w:lineRule="auto"/>
        <w:jc w:val="both"/>
        <w:rPr>
          <w:rFonts w:ascii="Calibri" w:eastAsia="Times New Roman" w:hAnsi="Calibri" w:cs="Arial"/>
          <w:b/>
          <w:color w:val="002060"/>
          <w:lang w:eastAsia="zh-CN"/>
        </w:rPr>
      </w:pPr>
      <w:r w:rsidRPr="00001479">
        <w:rPr>
          <w:rFonts w:ascii="Calibri" w:eastAsia="Times New Roman" w:hAnsi="Calibri" w:cs="Arial"/>
          <w:b/>
          <w:color w:val="002060"/>
          <w:lang w:eastAsia="zh-CN"/>
        </w:rPr>
        <w:t xml:space="preserve">Γ. Διάρκεια – Χρονοδιάγραμμα Υλοποίησης </w:t>
      </w:r>
    </w:p>
    <w:p w:rsidR="00001479" w:rsidRPr="00001479" w:rsidRDefault="00001479" w:rsidP="00001479">
      <w:p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 xml:space="preserve">Η ακριβής ημερομηνία έναρξης των εργασιών του Αναδόχου και ο χρονοπρογραμματισμός των ενεργειών από τον Ανάδοχο θα καθοριστεί κατά την υπογραφή της Σύμβασης. Στην Προσφορά τους οι Υποψήφιοι Ανάδοχοι θα πρέπει να παραθέσουν αναλυτικό χρονοδιάγραμμα εργασιών, συμβατό με τη μεθοδολογία υλοποίησης και διαχείρισης του έργου που θα ακολουθηθεί. </w:t>
      </w:r>
    </w:p>
    <w:p w:rsidR="00001479" w:rsidRPr="00001479" w:rsidRDefault="00001479" w:rsidP="00001479">
      <w:pPr>
        <w:suppressAutoHyphens/>
        <w:spacing w:after="120" w:line="240" w:lineRule="auto"/>
        <w:jc w:val="both"/>
        <w:rPr>
          <w:rFonts w:ascii="Calibri" w:eastAsia="Times New Roman" w:hAnsi="Calibri" w:cs="Calibri"/>
          <w:b/>
          <w:bCs/>
          <w:szCs w:val="24"/>
          <w:lang w:eastAsia="zh-CN"/>
        </w:rPr>
      </w:pPr>
      <w:r w:rsidRPr="00001479">
        <w:rPr>
          <w:rFonts w:ascii="Calibri" w:eastAsia="Times New Roman" w:hAnsi="Calibri" w:cs="Calibri"/>
          <w:szCs w:val="24"/>
          <w:lang w:eastAsia="zh-CN"/>
        </w:rPr>
        <w:t xml:space="preserve">Στη συνέχεια παρουσιάζεται το προτεινόμενο χρονοδιάγραμμα υλοποίησης του έργου.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1104"/>
        <w:gridCol w:w="1104"/>
        <w:gridCol w:w="1104"/>
      </w:tblGrid>
      <w:tr w:rsidR="00001479" w:rsidRPr="00001479" w:rsidTr="00D135B4">
        <w:trPr>
          <w:trHeight w:val="398"/>
          <w:jc w:val="center"/>
        </w:trPr>
        <w:tc>
          <w:tcPr>
            <w:tcW w:w="5543" w:type="dxa"/>
            <w:shd w:val="clear" w:color="auto" w:fill="4472C4"/>
          </w:tcPr>
          <w:p w:rsidR="00001479" w:rsidRPr="00001479" w:rsidRDefault="00001479" w:rsidP="00001479">
            <w:pPr>
              <w:suppressAutoHyphens/>
              <w:spacing w:after="120" w:line="240" w:lineRule="auto"/>
              <w:jc w:val="center"/>
              <w:rPr>
                <w:rFonts w:ascii="Calibri" w:eastAsia="Times New Roman" w:hAnsi="Calibri" w:cs="Calibri"/>
                <w:b/>
                <w:bCs/>
                <w:color w:val="FFFFFF"/>
                <w:szCs w:val="24"/>
                <w:lang w:eastAsia="zh-CN"/>
              </w:rPr>
            </w:pPr>
            <w:r w:rsidRPr="00001479">
              <w:rPr>
                <w:rFonts w:ascii="Calibri" w:eastAsia="Times New Roman" w:hAnsi="Calibri" w:cs="Calibri"/>
                <w:b/>
                <w:bCs/>
                <w:color w:val="FFFFFF"/>
                <w:szCs w:val="24"/>
                <w:lang w:eastAsia="zh-CN"/>
              </w:rPr>
              <w:t>ΜΗΝΕΣ</w:t>
            </w:r>
          </w:p>
        </w:tc>
        <w:tc>
          <w:tcPr>
            <w:tcW w:w="1242" w:type="dxa"/>
            <w:shd w:val="clear" w:color="auto" w:fill="4472C4"/>
          </w:tcPr>
          <w:p w:rsidR="00001479" w:rsidRPr="00001479" w:rsidRDefault="00001479" w:rsidP="00001479">
            <w:pPr>
              <w:suppressAutoHyphens/>
              <w:spacing w:after="120" w:line="240" w:lineRule="auto"/>
              <w:jc w:val="center"/>
              <w:rPr>
                <w:rFonts w:ascii="Calibri" w:eastAsia="Times New Roman" w:hAnsi="Calibri" w:cs="Calibri"/>
                <w:b/>
                <w:bCs/>
                <w:color w:val="FFFFFF"/>
                <w:szCs w:val="24"/>
                <w:lang w:eastAsia="zh-CN"/>
              </w:rPr>
            </w:pPr>
            <w:r w:rsidRPr="00001479">
              <w:rPr>
                <w:rFonts w:ascii="Calibri" w:eastAsia="Times New Roman" w:hAnsi="Calibri" w:cs="Calibri"/>
                <w:b/>
                <w:bCs/>
                <w:color w:val="FFFFFF"/>
                <w:szCs w:val="24"/>
                <w:lang w:eastAsia="zh-CN"/>
              </w:rPr>
              <w:t>1</w:t>
            </w:r>
          </w:p>
        </w:tc>
        <w:tc>
          <w:tcPr>
            <w:tcW w:w="1242" w:type="dxa"/>
            <w:shd w:val="clear" w:color="auto" w:fill="4472C4"/>
          </w:tcPr>
          <w:p w:rsidR="00001479" w:rsidRPr="00001479" w:rsidRDefault="00001479" w:rsidP="00001479">
            <w:pPr>
              <w:suppressAutoHyphens/>
              <w:spacing w:after="120" w:line="240" w:lineRule="auto"/>
              <w:jc w:val="center"/>
              <w:rPr>
                <w:rFonts w:ascii="Calibri" w:eastAsia="Times New Roman" w:hAnsi="Calibri" w:cs="Calibri"/>
                <w:b/>
                <w:bCs/>
                <w:color w:val="FFFFFF"/>
                <w:szCs w:val="24"/>
                <w:lang w:eastAsia="zh-CN"/>
              </w:rPr>
            </w:pPr>
            <w:r w:rsidRPr="00001479">
              <w:rPr>
                <w:rFonts w:ascii="Calibri" w:eastAsia="Times New Roman" w:hAnsi="Calibri" w:cs="Calibri"/>
                <w:b/>
                <w:bCs/>
                <w:color w:val="FFFFFF"/>
                <w:szCs w:val="24"/>
                <w:lang w:eastAsia="zh-CN"/>
              </w:rPr>
              <w:t>2</w:t>
            </w:r>
          </w:p>
        </w:tc>
        <w:tc>
          <w:tcPr>
            <w:tcW w:w="1242" w:type="dxa"/>
            <w:shd w:val="clear" w:color="auto" w:fill="4472C4"/>
          </w:tcPr>
          <w:p w:rsidR="00001479" w:rsidRPr="00001479" w:rsidRDefault="00001479" w:rsidP="00001479">
            <w:pPr>
              <w:suppressAutoHyphens/>
              <w:spacing w:after="120" w:line="240" w:lineRule="auto"/>
              <w:jc w:val="center"/>
              <w:rPr>
                <w:rFonts w:ascii="Calibri" w:eastAsia="Times New Roman" w:hAnsi="Calibri" w:cs="Calibri"/>
                <w:b/>
                <w:bCs/>
                <w:color w:val="FFFFFF"/>
                <w:szCs w:val="24"/>
                <w:lang w:eastAsia="zh-CN"/>
              </w:rPr>
            </w:pPr>
            <w:r w:rsidRPr="00001479">
              <w:rPr>
                <w:rFonts w:ascii="Calibri" w:eastAsia="Times New Roman" w:hAnsi="Calibri" w:cs="Calibri"/>
                <w:b/>
                <w:bCs/>
                <w:color w:val="FFFFFF"/>
                <w:szCs w:val="24"/>
                <w:lang w:eastAsia="zh-CN"/>
              </w:rPr>
              <w:t>3</w:t>
            </w:r>
          </w:p>
        </w:tc>
      </w:tr>
      <w:tr w:rsidR="00001479" w:rsidRPr="00001479" w:rsidTr="00D135B4">
        <w:trPr>
          <w:trHeight w:val="383"/>
          <w:jc w:val="center"/>
        </w:trPr>
        <w:tc>
          <w:tcPr>
            <w:tcW w:w="5543"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u w:val="single"/>
                <w:lang w:eastAsia="zh-CN"/>
              </w:rPr>
            </w:pPr>
            <w:r w:rsidRPr="00001479">
              <w:rPr>
                <w:rFonts w:ascii="Calibri" w:eastAsia="Times New Roman" w:hAnsi="Calibri" w:cs="Calibri"/>
                <w:b/>
                <w:bCs/>
                <w:szCs w:val="24"/>
                <w:lang w:eastAsia="zh-CN"/>
              </w:rPr>
              <w:t>Κατάρτιση μελέτης συγκριτικής αξιολόγησης</w:t>
            </w: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FFFFFF"/>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r>
      <w:tr w:rsidR="00001479" w:rsidRPr="00001479" w:rsidTr="00D135B4">
        <w:trPr>
          <w:trHeight w:val="640"/>
          <w:jc w:val="center"/>
        </w:trPr>
        <w:tc>
          <w:tcPr>
            <w:tcW w:w="5543"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r w:rsidRPr="00001479">
              <w:rPr>
                <w:rFonts w:ascii="Calibri" w:eastAsia="Times New Roman" w:hAnsi="Calibri" w:cs="Calibri"/>
                <w:b/>
                <w:bCs/>
                <w:szCs w:val="24"/>
                <w:lang w:eastAsia="zh-CN"/>
              </w:rPr>
              <w:t>Κατάρτιση μελέτης - σχεδίου δράσης για την υλοποίηση του στρατηγικού/ επιχειρησιακού σχεδίου</w:t>
            </w:r>
          </w:p>
        </w:tc>
        <w:tc>
          <w:tcPr>
            <w:tcW w:w="1242"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r>
      <w:tr w:rsidR="00001479" w:rsidRPr="00001479" w:rsidTr="00D135B4">
        <w:trPr>
          <w:trHeight w:val="1763"/>
          <w:jc w:val="center"/>
        </w:trPr>
        <w:tc>
          <w:tcPr>
            <w:tcW w:w="5543"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r w:rsidRPr="00001479">
              <w:rPr>
                <w:rFonts w:ascii="Calibri" w:eastAsia="Times New Roman" w:hAnsi="Calibri" w:cs="Calibri"/>
                <w:b/>
                <w:bCs/>
                <w:szCs w:val="24"/>
                <w:lang w:eastAsia="zh-CN"/>
              </w:rPr>
              <w:lastRenderedPageBreak/>
              <w:t xml:space="preserve">Κατάρτιση μελέτης σχετικά με τις διαδικασίες </w:t>
            </w:r>
            <w:proofErr w:type="spellStart"/>
            <w:r w:rsidRPr="00001479">
              <w:rPr>
                <w:rFonts w:ascii="Calibri" w:eastAsia="Times New Roman" w:hAnsi="Calibri" w:cs="Calibri"/>
                <w:b/>
                <w:bCs/>
                <w:szCs w:val="24"/>
                <w:lang w:eastAsia="zh-CN"/>
              </w:rPr>
              <w:t>επικαιροποίησης</w:t>
            </w:r>
            <w:proofErr w:type="spellEnd"/>
            <w:r w:rsidRPr="00001479">
              <w:rPr>
                <w:rFonts w:ascii="Calibri" w:eastAsia="Times New Roman" w:hAnsi="Calibri" w:cs="Calibri"/>
                <w:b/>
                <w:bCs/>
                <w:szCs w:val="24"/>
                <w:lang w:eastAsia="zh-CN"/>
              </w:rPr>
              <w:t>, τροποποίησης του στρατηγικού/ επιχειρησιακού σχεδίου καθώς και τον μηχανισμό συγκέντρωσης των δεικτών αξιολόγησης της απόδοσης του βαθμού επίτευξης /των στόχων του στρατηγικού σχεδίου</w:t>
            </w:r>
          </w:p>
        </w:tc>
        <w:tc>
          <w:tcPr>
            <w:tcW w:w="1242"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r>
      <w:tr w:rsidR="00001479" w:rsidRPr="00001479" w:rsidTr="00D135B4">
        <w:trPr>
          <w:trHeight w:val="659"/>
          <w:jc w:val="center"/>
        </w:trPr>
        <w:tc>
          <w:tcPr>
            <w:tcW w:w="5543"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r w:rsidRPr="00001479">
              <w:rPr>
                <w:rFonts w:ascii="Calibri" w:eastAsia="Times New Roman" w:hAnsi="Calibri" w:cs="Calibri"/>
                <w:b/>
                <w:bCs/>
                <w:szCs w:val="24"/>
                <w:lang w:eastAsia="zh-CN"/>
              </w:rPr>
              <w:t>Κατάρτιση μελέτης σχετικά με τα χρηματοδοτικά εργαλεία υλοποίησης του στρατηγικού σχεδιασμού</w:t>
            </w:r>
          </w:p>
        </w:tc>
        <w:tc>
          <w:tcPr>
            <w:tcW w:w="1242" w:type="dxa"/>
            <w:shd w:val="clear" w:color="auto" w:fill="auto"/>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c>
          <w:tcPr>
            <w:tcW w:w="1242" w:type="dxa"/>
            <w:shd w:val="clear" w:color="auto" w:fill="808080"/>
          </w:tcPr>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tc>
      </w:tr>
    </w:tbl>
    <w:p w:rsidR="00001479" w:rsidRPr="00001479" w:rsidRDefault="00001479" w:rsidP="00001479">
      <w:pPr>
        <w:suppressAutoHyphens/>
        <w:spacing w:after="120" w:line="240" w:lineRule="auto"/>
        <w:jc w:val="both"/>
        <w:rPr>
          <w:rFonts w:ascii="Calibri" w:eastAsia="Times New Roman" w:hAnsi="Calibri" w:cs="Calibri"/>
          <w:b/>
          <w:bCs/>
          <w:szCs w:val="24"/>
          <w:highlight w:val="yellow"/>
          <w:lang w:eastAsia="zh-CN"/>
        </w:rPr>
      </w:pPr>
    </w:p>
    <w:p w:rsidR="00001479" w:rsidRPr="00001479" w:rsidRDefault="00001479" w:rsidP="00001479">
      <w:pPr>
        <w:suppressAutoHyphens/>
        <w:spacing w:after="120" w:line="240" w:lineRule="auto"/>
        <w:jc w:val="both"/>
        <w:rPr>
          <w:rFonts w:ascii="Calibri" w:eastAsia="Times New Roman" w:hAnsi="Calibri" w:cs="Calibri"/>
          <w:szCs w:val="24"/>
          <w:lang w:eastAsia="zh-CN"/>
        </w:rPr>
      </w:pPr>
      <w:r w:rsidRPr="00001479">
        <w:rPr>
          <w:rFonts w:ascii="Calibri" w:eastAsia="Times New Roman" w:hAnsi="Calibri" w:cs="Calibri"/>
          <w:szCs w:val="24"/>
          <w:lang w:eastAsia="zh-CN"/>
        </w:rPr>
        <w:t>Στο ανωτέρω χρονοδιάγραμμα δεν περιλαμβάνεται ο χρόνος παραλαβής των παραδοτέων από την Αναθέτουσα Αρχή.</w:t>
      </w:r>
    </w:p>
    <w:p w:rsidR="00001479" w:rsidRPr="00001479" w:rsidRDefault="00001479" w:rsidP="00001479">
      <w:pPr>
        <w:suppressAutoHyphens/>
        <w:spacing w:after="120" w:line="240" w:lineRule="auto"/>
        <w:jc w:val="both"/>
        <w:rPr>
          <w:rFonts w:ascii="Calibri" w:eastAsia="Times New Roman" w:hAnsi="Calibri" w:cs="Calibri"/>
          <w:szCs w:val="24"/>
          <w:highlight w:val="yellow"/>
          <w:lang w:eastAsia="zh-CN"/>
        </w:rPr>
      </w:pPr>
    </w:p>
    <w:p w:rsidR="00001479" w:rsidRPr="00001479" w:rsidRDefault="00001479" w:rsidP="00001479">
      <w:pPr>
        <w:suppressAutoHyphens/>
        <w:spacing w:after="60" w:line="240" w:lineRule="auto"/>
        <w:jc w:val="both"/>
        <w:rPr>
          <w:rFonts w:ascii="Calibri" w:eastAsia="Times New Roman" w:hAnsi="Calibri" w:cs="Arial"/>
          <w:b/>
          <w:color w:val="002060"/>
          <w:lang w:eastAsia="zh-CN"/>
        </w:rPr>
      </w:pPr>
      <w:r w:rsidRPr="00001479">
        <w:rPr>
          <w:rFonts w:ascii="Calibri" w:eastAsia="Times New Roman" w:hAnsi="Calibri" w:cs="Arial"/>
          <w:b/>
          <w:color w:val="002060"/>
          <w:lang w:eastAsia="zh-CN"/>
        </w:rPr>
        <w:t>Δ. Ομάδα Έργου</w:t>
      </w:r>
    </w:p>
    <w:p w:rsidR="00001479" w:rsidRPr="00001479" w:rsidRDefault="00001479" w:rsidP="00001479">
      <w:pPr>
        <w:jc w:val="both"/>
        <w:rPr>
          <w:rFonts w:ascii="Calibri" w:eastAsia="Calibri" w:hAnsi="Calibri" w:cs="Times New Roman"/>
        </w:rPr>
      </w:pPr>
      <w:r w:rsidRPr="00001479">
        <w:rPr>
          <w:rFonts w:ascii="Calibri" w:eastAsia="Calibri" w:hAnsi="Calibri" w:cs="Times New Roman"/>
        </w:rPr>
        <w:t>Η Ομάδα έργου του Αναδόχου θα πρέπει να αποτελείται από τους ακόλουθους:</w:t>
      </w:r>
    </w:p>
    <w:p w:rsidR="00001479" w:rsidRPr="00001479" w:rsidRDefault="00001479" w:rsidP="00001479">
      <w:pPr>
        <w:numPr>
          <w:ilvl w:val="0"/>
          <w:numId w:val="3"/>
        </w:numPr>
        <w:shd w:val="clear" w:color="auto" w:fill="FFFFFF"/>
        <w:suppressAutoHyphens/>
        <w:spacing w:after="0" w:line="252" w:lineRule="auto"/>
        <w:ind w:left="357" w:hanging="357"/>
        <w:contextualSpacing/>
        <w:jc w:val="both"/>
        <w:rPr>
          <w:rFonts w:ascii="Calibri" w:eastAsia="Calibri" w:hAnsi="Calibri" w:cs="Times New Roman"/>
          <w:b/>
          <w:bCs/>
        </w:rPr>
      </w:pPr>
      <w:r w:rsidRPr="00001479">
        <w:rPr>
          <w:rFonts w:ascii="Calibri" w:eastAsia="Calibri" w:hAnsi="Calibri" w:cs="Times New Roman"/>
          <w:b/>
          <w:bCs/>
          <w:color w:val="000000"/>
        </w:rPr>
        <w:t xml:space="preserve">Ένα (1) Επιστημονικό Υπεύθυνο Έργου που διαθέτει: </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Πτυχίο τριτοβάθμιας εκπαίδευσης στα Οικονομικά,</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Μεταπτυχιακό Τίτλο Σπουδών στα Οικονομικά,</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Διδακτορικό Τίτλο Σπουδών στα Οικονομικά,</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Δεκαετή (10) Εμπειρία σε Ανώτατο Εκπαιδευτικό Ίδρυμα στο γνωστικό αντικείμενο της Επιχειρηματικότητας με τουλάχιστον τρία (3) σε θέση Προέδρου Τμήματος ΑΕΙ ή Κοσμήτορα Σχολής ή Πρύτανη ή Αντιπρύτανη,</w:t>
      </w:r>
    </w:p>
    <w:p w:rsidR="00001479" w:rsidRPr="00001479" w:rsidRDefault="00001479" w:rsidP="00001479">
      <w:pPr>
        <w:numPr>
          <w:ilvl w:val="0"/>
          <w:numId w:val="3"/>
        </w:numPr>
        <w:shd w:val="clear" w:color="auto" w:fill="FFFFFF"/>
        <w:suppressAutoHyphens/>
        <w:spacing w:after="0" w:line="252" w:lineRule="auto"/>
        <w:ind w:left="357" w:hanging="357"/>
        <w:contextualSpacing/>
        <w:jc w:val="both"/>
        <w:rPr>
          <w:rFonts w:ascii="Calibri" w:eastAsia="Calibri" w:hAnsi="Calibri" w:cs="Times New Roman"/>
          <w:b/>
          <w:bCs/>
        </w:rPr>
      </w:pPr>
      <w:r w:rsidRPr="00001479">
        <w:rPr>
          <w:rFonts w:ascii="Calibri" w:eastAsia="Calibri" w:hAnsi="Calibri" w:cs="Times New Roman"/>
          <w:b/>
          <w:bCs/>
          <w:color w:val="000000"/>
        </w:rPr>
        <w:t xml:space="preserve">Ένα (1) Υπεύθυνο Επιστημονικού Συντονισμού, εγγεγραμμένο στο Μητρώο Εκπαιδευτών Ενηλίκων της Μη Τυπικής Εκπαίδευσης του ΕΟΠΠΕΠ, που διαθέτει: </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Μεταπτυχιακό Τίτλο Σπουδών στον Τομέα της Εκπαίδευσης Ενηλίκων,</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Δεκαετή εμπειρία στη διοίκηση έργων κατάρτισης</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 xml:space="preserve">Εμπειρία στη διαχείριση τουλάχιστον 10 συγχρηματοδοτούμενων έργων ταυτόχρονα που να συμπεριλαμβάνουν και την εκπόνηση </w:t>
      </w:r>
      <w:proofErr w:type="spellStart"/>
      <w:r w:rsidRPr="00001479">
        <w:rPr>
          <w:rFonts w:ascii="Calibri" w:eastAsia="Calibri" w:hAnsi="Calibri" w:cs="Times New Roman"/>
        </w:rPr>
        <w:t>business</w:t>
      </w:r>
      <w:proofErr w:type="spellEnd"/>
      <w:r w:rsidRPr="00001479">
        <w:rPr>
          <w:rFonts w:ascii="Calibri" w:eastAsia="Calibri" w:hAnsi="Calibri" w:cs="Times New Roman"/>
        </w:rPr>
        <w:t xml:space="preserve"> </w:t>
      </w:r>
      <w:proofErr w:type="spellStart"/>
      <w:r w:rsidRPr="00001479">
        <w:rPr>
          <w:rFonts w:ascii="Calibri" w:eastAsia="Calibri" w:hAnsi="Calibri" w:cs="Times New Roman"/>
        </w:rPr>
        <w:t>plans</w:t>
      </w:r>
      <w:proofErr w:type="spellEnd"/>
      <w:r w:rsidRPr="00001479">
        <w:rPr>
          <w:rFonts w:ascii="Calibri" w:eastAsia="Calibri" w:hAnsi="Calibri" w:cs="Times New Roman"/>
        </w:rPr>
        <w:t>,</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Εμπειρία ως Υπεύθυνος Έργου σε δύο (2) έργα αξιολογήσεων και ελέγχων σε  συγχρηματοδοτούμενα Έργα ή/και Δράσεις Κρατικών Ενισχύσεων φορέων Δημόσιου ή Ευρύτερου Δημόσιου Φορέα που να έχουν ολοκληρωθεί την τελευταία διετία (έτη 2021 και 2022).</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Πιστοποιητικό Υπεύθυνου Προστασίας Δεδομένων.</w:t>
      </w:r>
    </w:p>
    <w:p w:rsidR="00001479" w:rsidRPr="00001479" w:rsidRDefault="00001479" w:rsidP="00001479">
      <w:pPr>
        <w:shd w:val="clear" w:color="auto" w:fill="FFFFFF"/>
        <w:spacing w:after="0" w:line="252" w:lineRule="auto"/>
        <w:contextualSpacing/>
        <w:rPr>
          <w:rFonts w:ascii="Calibri" w:eastAsia="Calibri" w:hAnsi="Calibri" w:cs="Times New Roman"/>
          <w:b/>
          <w:bCs/>
          <w:color w:val="000000"/>
        </w:rPr>
      </w:pPr>
    </w:p>
    <w:p w:rsidR="00001479" w:rsidRPr="00001479" w:rsidRDefault="00001479" w:rsidP="00001479">
      <w:pPr>
        <w:numPr>
          <w:ilvl w:val="0"/>
          <w:numId w:val="3"/>
        </w:numPr>
        <w:shd w:val="clear" w:color="auto" w:fill="FFFFFF"/>
        <w:suppressAutoHyphens/>
        <w:spacing w:after="0" w:line="252" w:lineRule="auto"/>
        <w:ind w:left="357" w:hanging="357"/>
        <w:contextualSpacing/>
        <w:jc w:val="both"/>
        <w:rPr>
          <w:rFonts w:ascii="Calibri" w:eastAsia="Calibri" w:hAnsi="Calibri" w:cs="Times New Roman"/>
          <w:b/>
          <w:bCs/>
        </w:rPr>
      </w:pPr>
      <w:r w:rsidRPr="00001479">
        <w:rPr>
          <w:rFonts w:ascii="Calibri" w:eastAsia="Calibri" w:hAnsi="Calibri" w:cs="Times New Roman"/>
          <w:b/>
          <w:bCs/>
          <w:color w:val="000000"/>
        </w:rPr>
        <w:t xml:space="preserve">Ένα (1) Μέλος Ομάδας Έργου, που διαθέτει: </w:t>
      </w:r>
    </w:p>
    <w:p w:rsidR="00001479" w:rsidRP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Πτυχίο Θετικών Επιστημών ή Οικονομικών Επιστημών ή Διοίκησης Επιχειρήσεων από Ανώτατο Εκπαιδευτικό Ίδρυμα,</w:t>
      </w:r>
    </w:p>
    <w:p w:rsidR="00001479" w:rsidRDefault="00001479" w:rsidP="00001479">
      <w:pPr>
        <w:numPr>
          <w:ilvl w:val="0"/>
          <w:numId w:val="2"/>
        </w:numPr>
        <w:suppressAutoHyphens/>
        <w:spacing w:after="120" w:line="240" w:lineRule="auto"/>
        <w:contextualSpacing/>
        <w:jc w:val="both"/>
        <w:rPr>
          <w:rFonts w:ascii="Calibri" w:eastAsia="Calibri" w:hAnsi="Calibri" w:cs="Times New Roman"/>
        </w:rPr>
      </w:pPr>
      <w:r w:rsidRPr="00001479">
        <w:rPr>
          <w:rFonts w:ascii="Calibri" w:eastAsia="Calibri" w:hAnsi="Calibri" w:cs="Times New Roman"/>
        </w:rPr>
        <w:t>Εμπειρία ως Μέλος Ομάδας Έργου σε τουλάχιστον τρία (3) έργα αξιολογήσεων και ελέγχων σε  συγχρηματοδοτούμενα Έργα ή/και Δράσεις Κρατικών Ενισχύσεων φορέων Δημόσιου ή Ευρύτερου Δημόσιου Φορέα που να έχουν ολοκληρωθεί την τελευταία διετία (έτη 2021 και 2022).</w:t>
      </w:r>
    </w:p>
    <w:p w:rsidR="00001479" w:rsidRPr="00001479" w:rsidRDefault="00001479" w:rsidP="00F807E3">
      <w:pPr>
        <w:suppressAutoHyphens/>
        <w:spacing w:after="120" w:line="240" w:lineRule="auto"/>
        <w:ind w:left="360"/>
        <w:contextualSpacing/>
        <w:jc w:val="both"/>
        <w:rPr>
          <w:rFonts w:ascii="Calibri" w:eastAsia="Calibri" w:hAnsi="Calibri" w:cs="Times New Roman"/>
        </w:rPr>
      </w:pPr>
      <w:bookmarkStart w:id="0" w:name="_GoBack"/>
      <w:bookmarkEnd w:id="0"/>
    </w:p>
    <w:p w:rsidR="00D9790A" w:rsidRDefault="00D9790A" w:rsidP="00001479"/>
    <w:sectPr w:rsidR="00D979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4C9"/>
    <w:multiLevelType w:val="hybridMultilevel"/>
    <w:tmpl w:val="FA54EE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E66D4"/>
    <w:multiLevelType w:val="hybridMultilevel"/>
    <w:tmpl w:val="59EC36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4F4D77D7"/>
    <w:multiLevelType w:val="hybridMultilevel"/>
    <w:tmpl w:val="A3C8CC0E"/>
    <w:lvl w:ilvl="0" w:tplc="7F70691E">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905544E"/>
    <w:multiLevelType w:val="hybridMultilevel"/>
    <w:tmpl w:val="BAFCE0FA"/>
    <w:lvl w:ilvl="0" w:tplc="0408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B3487C"/>
    <w:multiLevelType w:val="hybridMultilevel"/>
    <w:tmpl w:val="11CE661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DB3707"/>
    <w:multiLevelType w:val="hybridMultilevel"/>
    <w:tmpl w:val="793C4E24"/>
    <w:lvl w:ilvl="0" w:tplc="7F70691E">
      <w:start w:val="1"/>
      <w:numFmt w:val="bullet"/>
      <w:lvlText w:val="o"/>
      <w:lvlJc w:val="left"/>
      <w:pPr>
        <w:ind w:left="360"/>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79"/>
    <w:rsid w:val="00001479"/>
    <w:rsid w:val="00D9790A"/>
    <w:rsid w:val="00F80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CAE3"/>
  <w15:chartTrackingRefBased/>
  <w15:docId w15:val="{2DDF1BAE-813F-4568-8887-766B7585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1471</Words>
  <Characters>7944</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ΜΠΕΝΟΠΟΥΛΟΣ</dc:creator>
  <cp:keywords/>
  <dc:description/>
  <cp:lastModifiedBy>ΙΩΑΝΝΗΣ ΜΠΕΝΟΠΟΥΛΟΣ</cp:lastModifiedBy>
  <cp:revision>2</cp:revision>
  <dcterms:created xsi:type="dcterms:W3CDTF">2023-06-16T05:35:00Z</dcterms:created>
  <dcterms:modified xsi:type="dcterms:W3CDTF">2023-06-16T08:47:00Z</dcterms:modified>
</cp:coreProperties>
</file>